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976C9C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976C9C" w:rsidRPr="00430EA8">
        <w:rPr>
          <w:rFonts w:asciiTheme="minorHAnsi" w:hAnsiTheme="minorHAnsi" w:cs="Arial"/>
          <w:noProof/>
        </w:rPr>
        <w:t>1.</w:t>
      </w:r>
      <w:r w:rsidR="00976C9C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976C9C" w:rsidRPr="00430EA8">
        <w:rPr>
          <w:rFonts w:ascii="Verdana" w:hAnsi="Verdana" w:cs="Arial"/>
          <w:noProof/>
        </w:rPr>
        <w:t>TECHNICKÉ ŘEŠENÍ</w:t>
      </w:r>
      <w:r w:rsidR="00976C9C">
        <w:rPr>
          <w:noProof/>
        </w:rPr>
        <w:tab/>
      </w:r>
      <w:r w:rsidR="00976C9C">
        <w:rPr>
          <w:noProof/>
        </w:rPr>
        <w:fldChar w:fldCharType="begin"/>
      </w:r>
      <w:r w:rsidR="00976C9C">
        <w:rPr>
          <w:noProof/>
        </w:rPr>
        <w:instrText xml:space="preserve"> PAGEREF _Toc9518528 \h </w:instrText>
      </w:r>
      <w:r w:rsidR="00976C9C">
        <w:rPr>
          <w:noProof/>
        </w:rPr>
      </w:r>
      <w:r w:rsidR="00976C9C">
        <w:rPr>
          <w:noProof/>
        </w:rPr>
        <w:fldChar w:fldCharType="separate"/>
      </w:r>
      <w:r w:rsidR="00976C9C">
        <w:rPr>
          <w:noProof/>
        </w:rPr>
        <w:t>2</w:t>
      </w:r>
      <w:r w:rsidR="00976C9C"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9518528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 xml:space="preserve">i. Typové technické řešení skříně SG5 je projektováno v provedení </w:t>
      </w:r>
      <w:r w:rsidR="000F5B04">
        <w:t>3</w:t>
      </w:r>
      <w:r>
        <w:t>K1T.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9518529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7" w:name="_Toc9518530"/>
      <w:r w:rsidRPr="00486B35">
        <w:t xml:space="preserve">Rozvaděč </w:t>
      </w:r>
      <w:r>
        <w:t>NN</w:t>
      </w:r>
      <w:bookmarkEnd w:id="7"/>
    </w:p>
    <w:p w:rsidR="00CF6809" w:rsidRDefault="005D122E" w:rsidP="00CF6809">
      <w:pPr>
        <w:ind w:left="567" w:firstLine="0"/>
      </w:pPr>
      <w:r>
        <w:t xml:space="preserve">Z rozváděče nízkého napětí je napětím 230V AC </w:t>
      </w:r>
      <w:r w:rsidR="00CF6809">
        <w:t xml:space="preserve">kategorie III. </w:t>
      </w:r>
      <w:r>
        <w:t>napájen rozváděč SG5.</w:t>
      </w:r>
      <w:r w:rsidR="00CF6809">
        <w:t xml:space="preserve"> Napájení je realizováno odbočením před (napětí LA) a za (napětí LB) jističem FA1. </w:t>
      </w:r>
    </w:p>
    <w:p w:rsidR="00CF6809" w:rsidRDefault="00CF6809" w:rsidP="00CF6809">
      <w:pPr>
        <w:ind w:left="567" w:firstLine="0"/>
      </w:pPr>
      <w:r>
        <w:t>Z rozváděče nízkého napětí je do skříně SG5 přivedena stavová a poruchová signalizace z jističe FA1. Dále je v rozváděči nízkého napětí provedena příprava pro dálkové ovládání jističe FA1.</w:t>
      </w:r>
    </w:p>
    <w:p w:rsidR="00F82BEE" w:rsidRDefault="00F82BEE" w:rsidP="00CF6809">
      <w:pPr>
        <w:ind w:left="567" w:firstLine="0"/>
      </w:pPr>
      <w:r>
        <w:t>Pro potřeby měření na hladině nízkého napětí jsou z rozváděče RNN přes svorkovnici XA vyvedeny do skříně SG5 proudy a napětí.</w:t>
      </w:r>
    </w:p>
    <w:p w:rsidR="00F82BEE" w:rsidRDefault="00F82BEE" w:rsidP="00CF6809">
      <w:pPr>
        <w:ind w:left="567" w:firstLine="0"/>
        <w:rPr>
          <w:b/>
          <w:u w:val="single"/>
        </w:rPr>
      </w:pPr>
      <w:r w:rsidRPr="00F82BEE">
        <w:rPr>
          <w:b/>
          <w:u w:val="single"/>
        </w:rPr>
        <w:t xml:space="preserve">Při demontáži panelu ve skříni SG5 je nutné </w:t>
      </w:r>
      <w:r>
        <w:rPr>
          <w:b/>
          <w:u w:val="single"/>
        </w:rPr>
        <w:t xml:space="preserve">nejprve </w:t>
      </w:r>
      <w:r w:rsidRPr="00F82BEE">
        <w:rPr>
          <w:b/>
          <w:u w:val="single"/>
        </w:rPr>
        <w:t>zkratovat výstupní proudové obvody</w:t>
      </w:r>
      <w:r>
        <w:rPr>
          <w:b/>
          <w:u w:val="single"/>
        </w:rPr>
        <w:t xml:space="preserve"> na svorkovnici XA.</w:t>
      </w:r>
    </w:p>
    <w:p w:rsidR="00976C9C" w:rsidRDefault="00B546B9" w:rsidP="00CF6809">
      <w:pPr>
        <w:ind w:left="567" w:firstLine="0"/>
      </w:pPr>
      <w:r>
        <w:t>Zapojení zkratovacích můstků na svorkovnici XA</w:t>
      </w:r>
      <w:r w:rsidRPr="00B546B9">
        <w:t xml:space="preserve"> </w:t>
      </w:r>
      <w:r>
        <w:t xml:space="preserve">pro jednotlivé varianty vyzkratování přístrojů je uvedeno v typové dokumentaci zapojení </w:t>
      </w:r>
      <w:r>
        <w:rPr>
          <w:rFonts w:cs="Arial"/>
        </w:rPr>
        <w:t xml:space="preserve">sekundárních obvodů </w:t>
      </w:r>
      <w:r w:rsidRPr="00C74EC6">
        <w:rPr>
          <w:rFonts w:cs="Arial"/>
        </w:rPr>
        <w:t>RNN1</w:t>
      </w:r>
      <w:r>
        <w:rPr>
          <w:rFonts w:cs="Arial"/>
        </w:rPr>
        <w:t>, pořadové číslo 6, strana 4/4</w:t>
      </w:r>
      <w:r w:rsidR="00F82BEE" w:rsidRPr="00F82BEE">
        <w:t xml:space="preserve"> </w:t>
      </w:r>
    </w:p>
    <w:p w:rsidR="00F82BEE" w:rsidRPr="00F82BEE" w:rsidRDefault="00976C9C" w:rsidP="00E632D6">
      <w:pPr>
        <w:ind w:left="567" w:firstLine="0"/>
        <w:jc w:val="center"/>
      </w:pPr>
      <w:r>
        <w:rPr>
          <w:noProof/>
          <w:lang w:eastAsia="cs-CZ"/>
        </w:rPr>
        <w:drawing>
          <wp:inline distT="0" distB="0" distL="0" distR="0">
            <wp:extent cx="5130000" cy="1818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BEE" w:rsidRPr="00F82BEE" w:rsidRDefault="00F82BEE" w:rsidP="00CF6809">
      <w:pPr>
        <w:ind w:left="567" w:firstLine="0"/>
      </w:pPr>
      <w:r>
        <w:t xml:space="preserve"> </w:t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8" w:name="_Toc405815059"/>
      <w:bookmarkStart w:id="9" w:name="_Toc437864740"/>
      <w:bookmarkStart w:id="10" w:name="_Toc479236398"/>
      <w:bookmarkStart w:id="11" w:name="_Toc9518531"/>
      <w:bookmarkStart w:id="12" w:name="_Toc94406393"/>
      <w:r w:rsidRPr="00486B35">
        <w:lastRenderedPageBreak/>
        <w:t>Rozvaděč SG5</w:t>
      </w:r>
      <w:bookmarkEnd w:id="8"/>
      <w:bookmarkEnd w:id="9"/>
      <w:bookmarkEnd w:id="10"/>
      <w:bookmarkEnd w:id="11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</w:t>
      </w:r>
      <w:proofErr w:type="spellStart"/>
      <w:r>
        <w:t>kvalitoměr</w:t>
      </w:r>
      <w:proofErr w:type="spellEnd"/>
      <w:r>
        <w:t xml:space="preserve"> PQ1, zdroj 24V DC označený GUT1, UPS označená A01 a pomocné jističe. Na přístrojovém panelu je prostorová rezerva pro budoucí instalaci AMM. </w:t>
      </w:r>
      <w:r w:rsidR="003C7356">
        <w:t>Baterie je instalována na dně rozváděče SG5</w:t>
      </w:r>
      <w:r>
        <w:t>.</w:t>
      </w:r>
    </w:p>
    <w:p w:rsidR="006006F9" w:rsidRDefault="006006F9" w:rsidP="004C4378">
      <w:pPr>
        <w:ind w:left="567" w:firstLine="0"/>
      </w:pPr>
      <w:r>
        <w:t xml:space="preserve">V rozváděči SG5 je realizována příprava pro budoucí doplnění ovládání jističe FA1 v RNN1. Tato příprava spočívá v kompletním </w:t>
      </w:r>
      <w:proofErr w:type="spellStart"/>
      <w:r>
        <w:t>prodrátování</w:t>
      </w:r>
      <w:proofErr w:type="spellEnd"/>
      <w:r>
        <w:t xml:space="preserve"> binárních vstupů a výstupu potřebných pro ovládání FA1 až do svorkovnice XM v RNN1.</w:t>
      </w:r>
    </w:p>
    <w:p w:rsidR="00644FD1" w:rsidRDefault="004C4378" w:rsidP="004C4378">
      <w:pPr>
        <w:ind w:left="567" w:firstLine="0"/>
      </w:pPr>
      <w:r>
        <w:t>Na dveřích rozváděče SG</w:t>
      </w:r>
      <w:r w:rsidR="00644FD1">
        <w:t>5</w:t>
      </w:r>
      <w:r>
        <w:t xml:space="preserve"> </w:t>
      </w:r>
      <w:r w:rsidR="00644FD1">
        <w:t xml:space="preserve">je umístěn </w:t>
      </w:r>
      <w:r>
        <w:t>vačkový přepínač pro vol</w:t>
      </w:r>
      <w:r w:rsidR="00644FD1">
        <w:t>b</w:t>
      </w:r>
      <w:r>
        <w:t>u napájení (SAC). V běžném provozu je SAC přepnut na TRAFO T1, což je napájení SG5 napětím LA, tedy před jističe FA1 v</w:t>
      </w:r>
      <w:r w:rsidR="00644FD1">
        <w:t> </w:t>
      </w:r>
      <w:r>
        <w:t>RNN</w:t>
      </w:r>
      <w:r w:rsidR="00644FD1">
        <w:t>1. Přítomnost jednotlivých napětí (LA a LB) je signalizována pomocí signálek HLA1 a HLB1, které jsou umístěny nad vačkovým přepínačem SAC.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 RVN, ztrátě napájení ovládání</w:t>
      </w:r>
      <w:r w:rsidR="0026469D">
        <w:t xml:space="preserve"> jističe FA1 v RN1, ztrátě napětí stejnosměrného napájení ovládání.</w:t>
      </w:r>
    </w:p>
    <w:p w:rsidR="0026469D" w:rsidRDefault="00961B2B" w:rsidP="004C4378">
      <w:pPr>
        <w:ind w:left="567" w:firstLine="0"/>
      </w:pPr>
      <w:r>
        <w:t>Pro místní indikaci směru průchodu zkratového proudu jsou na dveřích rozváděč SG5 instalovány 2 signálky pro každý kabelový vývod VN.</w:t>
      </w:r>
      <w:r w:rsidR="0026469D">
        <w:t xml:space="preserve">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>Skříň rozvaděče bude opatřena štítkem dle ČSN, kde budou uvedeny 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2C4EBC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lastRenderedPageBreak/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26469D" w:rsidRDefault="0026469D" w:rsidP="004C4378">
      <w:pPr>
        <w:ind w:left="567" w:firstLine="0"/>
      </w:pPr>
    </w:p>
    <w:p w:rsidR="00EE536A" w:rsidRDefault="00EE536A" w:rsidP="00EE536A">
      <w:pPr>
        <w:pStyle w:val="Nadpis2"/>
        <w:suppressAutoHyphens w:val="0"/>
        <w:spacing w:before="180" w:line="288" w:lineRule="auto"/>
        <w:ind w:left="567" w:hanging="567"/>
      </w:pPr>
      <w:bookmarkStart w:id="13" w:name="_Toc9518532"/>
      <w:r>
        <w:t>Indikace zkratového proudu</w:t>
      </w:r>
      <w:bookmarkEnd w:id="13"/>
      <w:r w:rsidRPr="00525C15">
        <w:t xml:space="preserve"> </w:t>
      </w:r>
    </w:p>
    <w:p w:rsidR="0026469D" w:rsidRDefault="0013177F" w:rsidP="004C4378">
      <w:pPr>
        <w:ind w:left="567" w:firstLine="0"/>
      </w:pPr>
      <w:r w:rsidRPr="00FA10FB">
        <w:t xml:space="preserve">Pro indikaci průchodu zkratového proudu v rozváděči RVN se využijí </w:t>
      </w:r>
      <w:r w:rsidR="00FA10FB">
        <w:t xml:space="preserve">měřící </w:t>
      </w:r>
      <w:r w:rsidR="00636321">
        <w:t xml:space="preserve">jednotky </w:t>
      </w:r>
      <w:r w:rsidR="00FA10FB">
        <w:t>instalované v</w:t>
      </w:r>
      <w:r w:rsidR="00636321">
        <w:t>e vývodových polích rozváděče VN</w:t>
      </w:r>
      <w:r w:rsidR="00FA10FB">
        <w:t xml:space="preserve">. </w:t>
      </w:r>
      <w:r w:rsidRPr="00FA10FB">
        <w:t xml:space="preserve">Hodnota proudu je snímána pomocí </w:t>
      </w:r>
      <w:r w:rsidR="00FA10FB">
        <w:t xml:space="preserve">senzorových snímačů </w:t>
      </w:r>
      <w:r w:rsidR="000C22A0">
        <w:t xml:space="preserve">připojených </w:t>
      </w:r>
      <w:r w:rsidR="00636321">
        <w:t xml:space="preserve">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 w:rsidR="00FA10FB">
        <w:t>(směr-fáze / protisměr-fáze)</w:t>
      </w:r>
      <w:r w:rsidR="00636321">
        <w:t xml:space="preserve">. </w:t>
      </w:r>
      <w:r w:rsidR="00FA10FB">
        <w:t xml:space="preserve"> </w:t>
      </w:r>
    </w:p>
    <w:p w:rsidR="000C22A0" w:rsidRDefault="000C22A0" w:rsidP="000C22A0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4" w:name="_Toc9518533"/>
      <w:r>
        <w:t>Zapojení proudových senzorů</w:t>
      </w:r>
      <w:bookmarkEnd w:id="14"/>
      <w:r w:rsidRPr="00525C15">
        <w:t xml:space="preserve"> </w:t>
      </w:r>
    </w:p>
    <w:p w:rsidR="000C22A0" w:rsidRPr="00351DD3" w:rsidRDefault="000C22A0" w:rsidP="000C22A0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0C22A0" w:rsidRDefault="000C22A0" w:rsidP="000C22A0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0C22A0" w:rsidRPr="00351DD3" w:rsidRDefault="000C22A0" w:rsidP="000C22A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0C22A0" w:rsidRDefault="000C22A0" w:rsidP="000C22A0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8pt;mso-position-vertical:absolute" o:ole="">
            <v:imagedata r:id="rId12" o:title=""/>
          </v:shape>
          <o:OLEObject Type="Embed" ProgID="Visio.Drawing.11" ShapeID="_x0000_i1025" DrawAspect="Content" ObjectID="_1640512700" r:id="rId13"/>
        </w:object>
      </w:r>
    </w:p>
    <w:p w:rsidR="000C22A0" w:rsidRDefault="000C22A0" w:rsidP="000C22A0"/>
    <w:p w:rsidR="000C22A0" w:rsidRPr="00351DD3" w:rsidRDefault="000C22A0" w:rsidP="000C22A0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0C22A0" w:rsidRDefault="000C22A0" w:rsidP="000C22A0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0C22A0" w:rsidRPr="00351DD3" w:rsidRDefault="000C22A0" w:rsidP="000C22A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0C22A0" w:rsidRDefault="000C22A0" w:rsidP="000C22A0">
      <w:r>
        <w:object w:dxaOrig="6037" w:dyaOrig="5636">
          <v:shape id="_x0000_i1026" type="#_x0000_t75" style="width:241.65pt;height:225.8pt;mso-position-vertical:absolute" o:ole="">
            <v:imagedata r:id="rId14" o:title=""/>
          </v:shape>
          <o:OLEObject Type="Embed" ProgID="Visio.Drawing.11" ShapeID="_x0000_i1026" DrawAspect="Content" ObjectID="_1640512701" r:id="rId15"/>
        </w:object>
      </w:r>
    </w:p>
    <w:p w:rsidR="000C22A0" w:rsidRDefault="000C22A0" w:rsidP="000C22A0"/>
    <w:p w:rsidR="000C22A0" w:rsidRDefault="000C22A0" w:rsidP="000C22A0"/>
    <w:p w:rsidR="000C22A0" w:rsidRPr="00351DD3" w:rsidRDefault="000C22A0" w:rsidP="000C22A0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0C22A0" w:rsidRPr="00351DD3" w:rsidRDefault="000C22A0" w:rsidP="000C22A0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0C22A0" w:rsidRDefault="000C22A0" w:rsidP="000C22A0">
      <w:r>
        <w:object w:dxaOrig="6037" w:dyaOrig="5636">
          <v:shape id="_x0000_i1027" type="#_x0000_t75" style="width:241.65pt;height:225.8pt" o:ole="">
            <v:imagedata r:id="rId16" o:title=""/>
          </v:shape>
          <o:OLEObject Type="Embed" ProgID="Visio.Drawing.11" ShapeID="_x0000_i1027" DrawAspect="Content" ObjectID="_1640512702" r:id="rId17"/>
        </w:object>
      </w:r>
    </w:p>
    <w:p w:rsidR="000C22A0" w:rsidRDefault="000C22A0">
      <w:pPr>
        <w:suppressAutoHyphens w:val="0"/>
        <w:spacing w:before="0"/>
        <w:ind w:firstLine="0"/>
        <w:jc w:val="left"/>
      </w:pPr>
      <w:r>
        <w:br w:type="page"/>
      </w:r>
    </w:p>
    <w:p w:rsidR="000C22A0" w:rsidRPr="00351DD3" w:rsidRDefault="000C22A0" w:rsidP="000C22A0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0C22A0" w:rsidRDefault="000C22A0" w:rsidP="000C22A0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0C22A0" w:rsidRPr="00351DD3" w:rsidRDefault="000C22A0" w:rsidP="000C22A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0C22A0" w:rsidRPr="000C22A0" w:rsidRDefault="000C22A0" w:rsidP="000C22A0">
      <w:r>
        <w:object w:dxaOrig="6037" w:dyaOrig="5636">
          <v:shape id="_x0000_i1028" type="#_x0000_t75" style="width:241.65pt;height:225.8pt;mso-position-vertical:absolute" o:ole="">
            <v:imagedata r:id="rId18" o:title=""/>
          </v:shape>
          <o:OLEObject Type="Embed" ProgID="Visio.Drawing.11" ShapeID="_x0000_i1028" DrawAspect="Content" ObjectID="_1640512703" r:id="rId19"/>
        </w:object>
      </w:r>
    </w:p>
    <w:p w:rsidR="000C22A0" w:rsidRDefault="000C22A0" w:rsidP="004C4378">
      <w:pPr>
        <w:ind w:left="567" w:firstLine="0"/>
      </w:pPr>
    </w:p>
    <w:p w:rsidR="00F26663" w:rsidRDefault="00486B35" w:rsidP="00DA5ECD">
      <w:pPr>
        <w:pStyle w:val="Nadpis2"/>
        <w:suppressAutoHyphens w:val="0"/>
        <w:spacing w:before="180" w:line="288" w:lineRule="auto"/>
        <w:ind w:left="567" w:hanging="567"/>
      </w:pPr>
      <w:bookmarkStart w:id="15" w:name="_Toc519085673"/>
      <w:bookmarkStart w:id="16" w:name="_Toc9518534"/>
      <w:bookmarkStart w:id="17" w:name="_Toc405815060"/>
      <w:bookmarkStart w:id="18" w:name="_Toc437864741"/>
      <w:bookmarkStart w:id="19" w:name="_Toc479236399"/>
      <w:r w:rsidRPr="00BF4D84">
        <w:t>Příklad značení návlačky z přístroje na svorkovnici a naopak</w:t>
      </w:r>
      <w:bookmarkEnd w:id="15"/>
      <w:bookmarkEnd w:id="16"/>
      <w:r w:rsidRPr="00525C15">
        <w:t xml:space="preserve"> </w:t>
      </w:r>
      <w:bookmarkEnd w:id="17"/>
      <w:bookmarkEnd w:id="18"/>
      <w:bookmarkEnd w:id="19"/>
    </w:p>
    <w:p w:rsidR="00486B35" w:rsidRPr="00B546B9" w:rsidRDefault="00486B35" w:rsidP="0065049B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486B35" w:rsidRPr="00B546B9" w:rsidRDefault="00486B35" w:rsidP="0065049B">
      <w:pPr>
        <w:ind w:left="567" w:firstLine="0"/>
      </w:pPr>
      <w:r w:rsidRPr="00B546B9">
        <w:tab/>
      </w:r>
      <w:r w:rsidRPr="00B546B9">
        <w:tab/>
      </w:r>
      <w:r w:rsidR="0065049B">
        <w:tab/>
      </w:r>
      <w:r w:rsidRPr="00B546B9">
        <w:t>(vodiče jsou připojeny zleva nebo zespodu do přístroje)</w:t>
      </w:r>
    </w:p>
    <w:p w:rsidR="00486B35" w:rsidRPr="00B546B9" w:rsidRDefault="00486B35" w:rsidP="0065049B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486B35" w:rsidRPr="00B546B9" w:rsidRDefault="00486B35" w:rsidP="0065049B">
      <w:pPr>
        <w:ind w:left="567" w:firstLine="0"/>
      </w:pPr>
      <w:r w:rsidRPr="00B546B9">
        <w:tab/>
      </w:r>
      <w:r w:rsidRPr="00B546B9">
        <w:tab/>
      </w:r>
      <w:r w:rsidR="0065049B">
        <w:tab/>
      </w:r>
      <w:r w:rsidRPr="00B546B9">
        <w:t>(vodiče jsou připojeny zprava nebo seshora do přístroje)</w:t>
      </w:r>
    </w:p>
    <w:p w:rsidR="00486B35" w:rsidRPr="00B546B9" w:rsidRDefault="00486B35" w:rsidP="0065049B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486B35" w:rsidRPr="00B546B9" w:rsidRDefault="00486B35" w:rsidP="0065049B">
      <w:pPr>
        <w:ind w:left="567" w:firstLine="0"/>
      </w:pPr>
      <w:r w:rsidRPr="00B546B9">
        <w:tab/>
      </w:r>
      <w:r w:rsidRPr="00B546B9">
        <w:tab/>
      </w:r>
      <w:r w:rsidR="0065049B">
        <w:tab/>
      </w:r>
      <w:r w:rsidRPr="00B546B9">
        <w:t>(vodiče jsou připojeny zprava nebo seshora do svorkovnice)</w:t>
      </w:r>
    </w:p>
    <w:p w:rsidR="00486B35" w:rsidRPr="00B546B9" w:rsidRDefault="00486B35" w:rsidP="0065049B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486B35" w:rsidRPr="00B546B9" w:rsidRDefault="00486B35" w:rsidP="0065049B">
      <w:pPr>
        <w:ind w:left="567" w:firstLine="0"/>
      </w:pPr>
      <w:r w:rsidRPr="00B546B9">
        <w:tab/>
      </w:r>
      <w:r w:rsidRPr="00B546B9">
        <w:tab/>
      </w:r>
      <w:r w:rsidR="0065049B">
        <w:tab/>
      </w:r>
      <w:r w:rsidRPr="00B546B9">
        <w:t>(vodiče jsou připojeny zleva nebo zespodu do svorkovnice)</w:t>
      </w:r>
    </w:p>
    <w:p w:rsidR="00486B35" w:rsidRPr="0065049B" w:rsidRDefault="00486B35" w:rsidP="0065049B">
      <w:pPr>
        <w:ind w:left="567" w:firstLine="0"/>
      </w:pPr>
    </w:p>
    <w:p w:rsidR="00486B35" w:rsidRPr="00B546B9" w:rsidRDefault="00486B35" w:rsidP="0065049B">
      <w:pPr>
        <w:ind w:left="567" w:firstLine="0"/>
      </w:pPr>
      <w:r w:rsidRPr="00B546B9">
        <w:t>Příklad značení návlačky žíly v kabelu:</w:t>
      </w:r>
    </w:p>
    <w:p w:rsidR="00486B35" w:rsidRPr="00B546B9" w:rsidRDefault="00B546B9" w:rsidP="0065049B">
      <w:pPr>
        <w:ind w:left="567" w:firstLine="0"/>
      </w:pPr>
      <w:r w:rsidRPr="00B546B9">
        <w:t xml:space="preserve">H923T </w:t>
      </w:r>
      <w:r w:rsidR="00486B35" w:rsidRPr="00B546B9">
        <w:t xml:space="preserve">- 6 </w:t>
      </w:r>
      <w:r w:rsidR="00486B35" w:rsidRPr="00B546B9">
        <w:tab/>
        <w:t xml:space="preserve">Funkce </w:t>
      </w:r>
      <w:r w:rsidRPr="00B546B9">
        <w:t xml:space="preserve">H923T </w:t>
      </w:r>
      <w:r w:rsidR="00486B35" w:rsidRPr="00B546B9">
        <w:t>ze svorky 6 svorkovnice</w:t>
      </w:r>
    </w:p>
    <w:p w:rsidR="00486B35" w:rsidRPr="00B546B9" w:rsidRDefault="00486B35" w:rsidP="0065049B">
      <w:pPr>
        <w:ind w:left="567" w:firstLine="0"/>
      </w:pPr>
      <w:r w:rsidRPr="00B546B9">
        <w:tab/>
      </w:r>
      <w:r w:rsidRPr="00B546B9">
        <w:tab/>
      </w:r>
      <w:r w:rsidR="0065049B">
        <w:tab/>
      </w:r>
      <w:r w:rsidRPr="00B546B9">
        <w:t>(kabel je připojen zleva nebo zespodu do svorkovnice)</w:t>
      </w:r>
    </w:p>
    <w:p w:rsidR="00486B35" w:rsidRPr="00B546B9" w:rsidRDefault="00486B35" w:rsidP="0065049B">
      <w:pPr>
        <w:ind w:left="567" w:firstLine="0"/>
      </w:pPr>
      <w:r w:rsidRPr="00B546B9">
        <w:t xml:space="preserve">6 - </w:t>
      </w:r>
      <w:r w:rsidR="00B546B9" w:rsidRPr="00B546B9">
        <w:t xml:space="preserve">H923T </w:t>
      </w:r>
      <w:r w:rsidRPr="00B546B9">
        <w:tab/>
        <w:t xml:space="preserve">Funkce </w:t>
      </w:r>
      <w:r w:rsidR="00B546B9" w:rsidRPr="00B546B9">
        <w:t xml:space="preserve">H923T </w:t>
      </w:r>
      <w:r w:rsidRPr="00B546B9">
        <w:t>ze svorky 6 svorkovnice</w:t>
      </w:r>
    </w:p>
    <w:p w:rsidR="00486B35" w:rsidRPr="00B546B9" w:rsidRDefault="00486B35" w:rsidP="0065049B">
      <w:pPr>
        <w:ind w:left="567" w:firstLine="0"/>
      </w:pPr>
      <w:r w:rsidRPr="00B546B9">
        <w:tab/>
      </w:r>
      <w:r w:rsidRPr="00B546B9">
        <w:tab/>
      </w:r>
      <w:r w:rsidR="0065049B">
        <w:tab/>
      </w:r>
      <w:r w:rsidRPr="00B546B9">
        <w:t>(kabel je připojen zprava nebo seshora do svorkovnice)</w:t>
      </w:r>
    </w:p>
    <w:p w:rsidR="00486B35" w:rsidRPr="00B546B9" w:rsidRDefault="00486B35" w:rsidP="0065049B">
      <w:pPr>
        <w:ind w:left="567" w:firstLine="0"/>
      </w:pPr>
    </w:p>
    <w:p w:rsidR="00486B35" w:rsidRPr="00AB0478" w:rsidRDefault="00486B35" w:rsidP="00486B35">
      <w:pPr>
        <w:rPr>
          <w:highlight w:val="yellow"/>
        </w:rPr>
      </w:pPr>
      <w:bookmarkStart w:id="20" w:name="_Toc437864742"/>
      <w:bookmarkStart w:id="21" w:name="_Toc479236400"/>
    </w:p>
    <w:p w:rsidR="00F26663" w:rsidRPr="00B546B9" w:rsidRDefault="00486B35" w:rsidP="00DA5ECD">
      <w:pPr>
        <w:pStyle w:val="Nadpis2"/>
        <w:suppressAutoHyphens w:val="0"/>
        <w:spacing w:before="180" w:line="288" w:lineRule="auto"/>
        <w:ind w:left="567" w:hanging="567"/>
      </w:pPr>
      <w:bookmarkStart w:id="22" w:name="_Toc519085674"/>
      <w:bookmarkStart w:id="23" w:name="_Toc9518535"/>
      <w:r w:rsidRPr="00B546B9">
        <w:lastRenderedPageBreak/>
        <w:t>Značení kabelových štítků</w:t>
      </w:r>
      <w:bookmarkEnd w:id="22"/>
      <w:bookmarkEnd w:id="23"/>
      <w:r w:rsidRPr="00B546B9">
        <w:t xml:space="preserve"> </w:t>
      </w:r>
      <w:bookmarkEnd w:id="20"/>
      <w:bookmarkEnd w:id="21"/>
    </w:p>
    <w:p w:rsidR="00486B35" w:rsidRPr="00B546B9" w:rsidRDefault="00486B35" w:rsidP="00486B35">
      <w:r w:rsidRPr="00B546B9">
        <w:t>Kabelový štítek:</w:t>
      </w:r>
    </w:p>
    <w:p w:rsidR="00486B35" w:rsidRPr="00B546B9" w:rsidRDefault="00486B35" w:rsidP="00486B35">
      <w:r w:rsidRPr="00B546B9">
        <w:tab/>
        <w:t>Horní část – funkční znak objektu, z kterého kabel (svazek vodičů) vychází</w:t>
      </w:r>
    </w:p>
    <w:p w:rsidR="00486B35" w:rsidRPr="00B546B9" w:rsidRDefault="00486B35" w:rsidP="00486B35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486B35" w:rsidRPr="00B546B9" w:rsidRDefault="00486B35" w:rsidP="00486B35">
      <w:r w:rsidRPr="00B546B9">
        <w:tab/>
        <w:t>Spodní část – funkční označení kabelu dle kabelové listiny</w:t>
      </w:r>
    </w:p>
    <w:p w:rsidR="00486B35" w:rsidRPr="00AB0478" w:rsidRDefault="00486B35" w:rsidP="00486B35">
      <w:pPr>
        <w:rPr>
          <w:highlight w:val="yellow"/>
        </w:rPr>
      </w:pPr>
    </w:p>
    <w:bookmarkEnd w:id="12"/>
    <w:sectPr w:rsidR="00486B35" w:rsidRPr="00AB0478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3D3AB0" w:rsidP="00BA5145">
    <w:pPr>
      <w:pStyle w:val="Zpat"/>
      <w:pBdr>
        <w:top w:val="single" w:sz="12" w:space="0" w:color="auto"/>
      </w:pBdr>
      <w:tabs>
        <w:tab w:val="right" w:pos="9356"/>
      </w:tabs>
    </w:pPr>
    <w:r w:rsidRPr="003D3AB0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8764A1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8764A1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9B1F2B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noProof/>
        <w:sz w:val="20"/>
        <w:szCs w:val="20"/>
        <w:lang w:eastAsia="cs-CZ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719E7DEE" wp14:editId="685209EC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A5145">
      <w:rPr>
        <w:rFonts w:cs="Arial"/>
        <w:sz w:val="20"/>
        <w:szCs w:val="20"/>
      </w:rPr>
      <w:t xml:space="preserve">Typová dokumentace chytré </w:t>
    </w:r>
    <w:r w:rsidR="009B1F2B">
      <w:rPr>
        <w:rFonts w:cs="Arial"/>
        <w:sz w:val="20"/>
        <w:szCs w:val="20"/>
      </w:rPr>
      <w:t>DTS</w:t>
    </w:r>
    <w:r w:rsidRPr="00BA5145">
      <w:rPr>
        <w:noProof/>
        <w:sz w:val="20"/>
        <w:szCs w:val="20"/>
        <w:lang w:eastAsia="cs-CZ"/>
      </w:rPr>
      <w:t xml:space="preserve">      </w:t>
    </w:r>
    <w:r w:rsidRPr="00BA5145">
      <w:rPr>
        <w:noProof/>
        <w:sz w:val="20"/>
        <w:szCs w:val="20"/>
        <w:lang w:eastAsia="cs-CZ"/>
      </w:rPr>
      <w:tab/>
    </w:r>
    <w:r w:rsidR="00C12B0E" w:rsidRPr="00C12B0E">
      <w:rPr>
        <w:noProof/>
        <w:sz w:val="20"/>
        <w:szCs w:val="20"/>
        <w:lang w:eastAsia="cs-CZ"/>
      </w:rPr>
      <w:t>3K1T_SafeRing-RTU520_var.K-ver.20</w:t>
    </w:r>
    <w:r w:rsidR="008764A1">
      <w:rPr>
        <w:noProof/>
        <w:sz w:val="20"/>
        <w:szCs w:val="20"/>
        <w:lang w:eastAsia="cs-CZ"/>
      </w:rPr>
      <w:t>20</w:t>
    </w:r>
    <w:r w:rsidR="00C12B0E" w:rsidRPr="00C12B0E">
      <w:rPr>
        <w:noProof/>
        <w:sz w:val="20"/>
        <w:szCs w:val="20"/>
        <w:lang w:eastAsia="cs-CZ"/>
      </w:rPr>
      <w:t>.0</w:t>
    </w:r>
    <w:r w:rsidR="008764A1">
      <w:rPr>
        <w:noProof/>
        <w:sz w:val="20"/>
        <w:szCs w:val="20"/>
        <w:lang w:eastAsia="cs-CZ"/>
      </w:rPr>
      <w:t>1</w:t>
    </w:r>
    <w:r w:rsidR="00C12B0E" w:rsidRPr="00C12B0E">
      <w:rPr>
        <w:noProof/>
        <w:sz w:val="20"/>
        <w:szCs w:val="20"/>
        <w:lang w:eastAsia="cs-CZ"/>
      </w:rPr>
      <w:t>.</w:t>
    </w:r>
    <w:r w:rsidR="008764A1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6D62"/>
    <w:rsid w:val="0003702A"/>
    <w:rsid w:val="0003720B"/>
    <w:rsid w:val="00043512"/>
    <w:rsid w:val="00054455"/>
    <w:rsid w:val="00056DBA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B1E1E"/>
    <w:rsid w:val="000C2056"/>
    <w:rsid w:val="000C22A0"/>
    <w:rsid w:val="000C3EF3"/>
    <w:rsid w:val="000D3F03"/>
    <w:rsid w:val="000E3773"/>
    <w:rsid w:val="000E3ABF"/>
    <w:rsid w:val="000F1F28"/>
    <w:rsid w:val="000F5B04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1F0CDD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90C46"/>
    <w:rsid w:val="002946DF"/>
    <w:rsid w:val="00296A26"/>
    <w:rsid w:val="002A1D3D"/>
    <w:rsid w:val="002A2D1C"/>
    <w:rsid w:val="002B38DE"/>
    <w:rsid w:val="002C32B7"/>
    <w:rsid w:val="002C32DD"/>
    <w:rsid w:val="002C4EBC"/>
    <w:rsid w:val="002D0FBA"/>
    <w:rsid w:val="002D3A3C"/>
    <w:rsid w:val="002F78F6"/>
    <w:rsid w:val="003058D1"/>
    <w:rsid w:val="003309BF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C7356"/>
    <w:rsid w:val="003D27A6"/>
    <w:rsid w:val="003D3AB0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382B"/>
    <w:rsid w:val="0056196E"/>
    <w:rsid w:val="00570E67"/>
    <w:rsid w:val="00574090"/>
    <w:rsid w:val="00580C59"/>
    <w:rsid w:val="00594CD2"/>
    <w:rsid w:val="005950CA"/>
    <w:rsid w:val="00597436"/>
    <w:rsid w:val="005A14B2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67D8"/>
    <w:rsid w:val="006E6921"/>
    <w:rsid w:val="006F39B6"/>
    <w:rsid w:val="006F4F39"/>
    <w:rsid w:val="006F6F72"/>
    <w:rsid w:val="006F79C9"/>
    <w:rsid w:val="007147A9"/>
    <w:rsid w:val="0072284B"/>
    <w:rsid w:val="00723408"/>
    <w:rsid w:val="0073609F"/>
    <w:rsid w:val="007362C9"/>
    <w:rsid w:val="007367A4"/>
    <w:rsid w:val="00740A96"/>
    <w:rsid w:val="007435CA"/>
    <w:rsid w:val="0074555A"/>
    <w:rsid w:val="00745AAE"/>
    <w:rsid w:val="0074644F"/>
    <w:rsid w:val="00747D22"/>
    <w:rsid w:val="00753A07"/>
    <w:rsid w:val="00763024"/>
    <w:rsid w:val="00764B56"/>
    <w:rsid w:val="00771780"/>
    <w:rsid w:val="00771E2F"/>
    <w:rsid w:val="0077754C"/>
    <w:rsid w:val="007906AB"/>
    <w:rsid w:val="00793EBC"/>
    <w:rsid w:val="00797341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764A1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1B2B"/>
    <w:rsid w:val="00966D55"/>
    <w:rsid w:val="00971D4E"/>
    <w:rsid w:val="00976C9C"/>
    <w:rsid w:val="00984B11"/>
    <w:rsid w:val="00990DC6"/>
    <w:rsid w:val="009951B6"/>
    <w:rsid w:val="009970EE"/>
    <w:rsid w:val="009A503E"/>
    <w:rsid w:val="009A5F36"/>
    <w:rsid w:val="009B0377"/>
    <w:rsid w:val="009B1F2B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2679C"/>
    <w:rsid w:val="00A43D4D"/>
    <w:rsid w:val="00A51F5C"/>
    <w:rsid w:val="00A54D54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B13BF"/>
    <w:rsid w:val="00BC0107"/>
    <w:rsid w:val="00BC111C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2B0E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7282D"/>
    <w:rsid w:val="00D738E7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233C3"/>
    <w:rsid w:val="00E331B5"/>
    <w:rsid w:val="00E373A4"/>
    <w:rsid w:val="00E417B3"/>
    <w:rsid w:val="00E524AD"/>
    <w:rsid w:val="00E60C16"/>
    <w:rsid w:val="00E61D71"/>
    <w:rsid w:val="00E632D6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A10FB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FEAE8-F017-4F51-B9C4-A68A7752D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1294</Words>
  <Characters>7639</Characters>
  <Application>Microsoft Office Word</Application>
  <DocSecurity>0</DocSecurity>
  <Lines>63</Lines>
  <Paragraphs>17</Paragraphs>
  <ScaleCrop>false</ScaleCrop>
  <Company/>
  <LinksUpToDate>false</LinksUpToDate>
  <CharactersWithSpaces>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3</cp:revision>
  <dcterms:created xsi:type="dcterms:W3CDTF">2019-09-12T11:23:00Z</dcterms:created>
  <dcterms:modified xsi:type="dcterms:W3CDTF">2020-01-14T12:11:00Z</dcterms:modified>
</cp:coreProperties>
</file>