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7F25E5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7F25E5" w:rsidRPr="00A57D8E">
        <w:rPr>
          <w:rFonts w:asciiTheme="minorHAnsi" w:hAnsiTheme="minorHAnsi" w:cs="Arial"/>
          <w:noProof/>
        </w:rPr>
        <w:t>1.</w:t>
      </w:r>
      <w:r w:rsidR="007F25E5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7F25E5" w:rsidRPr="00A57D8E">
        <w:rPr>
          <w:rFonts w:ascii="Verdana" w:hAnsi="Verdana" w:cs="Arial"/>
          <w:noProof/>
        </w:rPr>
        <w:t>TECHNICKÉ ŘEŠENÍ</w:t>
      </w:r>
      <w:r w:rsidR="007F25E5">
        <w:rPr>
          <w:noProof/>
        </w:rPr>
        <w:tab/>
      </w:r>
      <w:r w:rsidR="007F25E5">
        <w:rPr>
          <w:noProof/>
        </w:rPr>
        <w:fldChar w:fldCharType="begin"/>
      </w:r>
      <w:r w:rsidR="007F25E5">
        <w:rPr>
          <w:noProof/>
        </w:rPr>
        <w:instrText xml:space="preserve"> PAGEREF _Toc9609697 \h </w:instrText>
      </w:r>
      <w:r w:rsidR="007F25E5">
        <w:rPr>
          <w:noProof/>
        </w:rPr>
      </w:r>
      <w:r w:rsidR="007F25E5">
        <w:rPr>
          <w:noProof/>
        </w:rPr>
        <w:fldChar w:fldCharType="separate"/>
      </w:r>
      <w:r w:rsidR="007F25E5">
        <w:rPr>
          <w:noProof/>
        </w:rPr>
        <w:t>2</w:t>
      </w:r>
      <w:r w:rsidR="007F25E5">
        <w:rPr>
          <w:noProof/>
        </w:rPr>
        <w:fldChar w:fldCharType="end"/>
      </w:r>
    </w:p>
    <w:p w:rsidR="007F25E5" w:rsidRDefault="007F25E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_Toc9609698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7F25E5" w:rsidRDefault="007F25E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_Toc9609699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7F25E5" w:rsidRDefault="007F25E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_Toc9609700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7F25E5" w:rsidRDefault="007F25E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_Toc9609701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F25E5" w:rsidRDefault="007F25E5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_Toc9609702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F25E5" w:rsidRDefault="007F25E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_Toc9609703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F25E5" w:rsidRDefault="007F25E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_Toc9609704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609697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SG5 je projektováno v provedení 2K1T.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609698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609699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7637CA" w:rsidP="00A24C24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609700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2E2897">
        <w:t>Baterie je instalována na dně rozváděče SG5.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5B0E4A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3" w:name="_Toc9609701"/>
      <w:r>
        <w:t>Indikace zkratového proudu</w:t>
      </w:r>
      <w:bookmarkEnd w:id="13"/>
      <w:r w:rsidRPr="00525C15">
        <w:t xml:space="preserve"> </w:t>
      </w:r>
    </w:p>
    <w:p w:rsidR="00BC3F2E" w:rsidRDefault="00BC3F2E" w:rsidP="00BC3F2E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BC3F2E" w:rsidRDefault="00BC3F2E" w:rsidP="00BC3F2E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609702"/>
      <w:r>
        <w:t>Zapojení proudových senzorů</w:t>
      </w:r>
      <w:bookmarkEnd w:id="14"/>
      <w:r w:rsidRPr="00525C15">
        <w:t xml:space="preserve"> </w:t>
      </w:r>
    </w:p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Default="00BC3F2E" w:rsidP="00BC3F2E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0513114" r:id="rId13"/>
        </w:object>
      </w:r>
    </w:p>
    <w:p w:rsidR="00D67675" w:rsidRDefault="00D67675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BC3F2E" w:rsidRDefault="00BC3F2E" w:rsidP="00BC3F2E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0513115" r:id="rId15"/>
        </w:object>
      </w:r>
    </w:p>
    <w:p w:rsidR="00BC3F2E" w:rsidRDefault="00BC3F2E" w:rsidP="00BC3F2E"/>
    <w:p w:rsidR="00BC3F2E" w:rsidRDefault="00BC3F2E" w:rsidP="00BC3F2E"/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BC3F2E" w:rsidRPr="00351DD3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BC3F2E" w:rsidRDefault="00BC3F2E" w:rsidP="00BC3F2E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0513116" r:id="rId17"/>
        </w:object>
      </w:r>
    </w:p>
    <w:p w:rsidR="00BC3F2E" w:rsidRDefault="00BC3F2E" w:rsidP="00BC3F2E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Pr="000C22A0" w:rsidRDefault="00BC3F2E" w:rsidP="00BC3F2E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0513117" r:id="rId19"/>
        </w:object>
      </w:r>
    </w:p>
    <w:p w:rsidR="00BC3F2E" w:rsidRDefault="00BC3F2E" w:rsidP="00BC3F2E">
      <w:pPr>
        <w:ind w:left="567" w:firstLine="0"/>
      </w:pP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609703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BC3F2E" w:rsidRPr="00B546B9" w:rsidRDefault="00BC3F2E" w:rsidP="00BC3F2E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BC3F2E" w:rsidRPr="0065049B" w:rsidRDefault="00BC3F2E" w:rsidP="00BC3F2E">
      <w:pPr>
        <w:ind w:left="567" w:firstLine="0"/>
      </w:pPr>
    </w:p>
    <w:p w:rsidR="00BC3F2E" w:rsidRPr="00B546B9" w:rsidRDefault="00BC3F2E" w:rsidP="00BC3F2E">
      <w:pPr>
        <w:ind w:left="567" w:firstLine="0"/>
      </w:pPr>
      <w:r w:rsidRPr="00B546B9">
        <w:t>Příklad značení návlačky žíly v kabelu:</w:t>
      </w:r>
    </w:p>
    <w:p w:rsidR="00BC3F2E" w:rsidRPr="00B546B9" w:rsidRDefault="00BC3F2E" w:rsidP="00BC3F2E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BC3F2E" w:rsidRPr="00B546B9" w:rsidRDefault="00BC3F2E" w:rsidP="00BC3F2E">
      <w:pPr>
        <w:ind w:left="567" w:firstLine="0"/>
      </w:pPr>
    </w:p>
    <w:p w:rsidR="00BC3F2E" w:rsidRPr="00AB0478" w:rsidRDefault="00BC3F2E" w:rsidP="00BC3F2E">
      <w:pPr>
        <w:rPr>
          <w:highlight w:val="yellow"/>
        </w:rPr>
      </w:pPr>
      <w:bookmarkStart w:id="20" w:name="_Toc437864742"/>
      <w:bookmarkStart w:id="21" w:name="_Toc479236400"/>
    </w:p>
    <w:p w:rsidR="00BC3F2E" w:rsidRPr="00B546B9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609704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BC3F2E" w:rsidRPr="00B546B9" w:rsidRDefault="00BC3F2E" w:rsidP="00BC3F2E">
      <w:r w:rsidRPr="00B546B9">
        <w:t>Kabelový štítek:</w:t>
      </w:r>
    </w:p>
    <w:p w:rsidR="00BC3F2E" w:rsidRPr="00B546B9" w:rsidRDefault="00BC3F2E" w:rsidP="00BC3F2E">
      <w:r w:rsidRPr="00B546B9">
        <w:tab/>
        <w:t>Horní část – funkční znak objektu, z kterého kabel (svazek vodičů) vychází</w:t>
      </w:r>
    </w:p>
    <w:p w:rsidR="00BC3F2E" w:rsidRPr="00B546B9" w:rsidRDefault="00BC3F2E" w:rsidP="00BC3F2E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BC3F2E" w:rsidRPr="00B546B9" w:rsidRDefault="00BC3F2E" w:rsidP="00BC3F2E">
      <w:r w:rsidRPr="00B546B9">
        <w:tab/>
        <w:t>Spodní část – funkční označení kabelu dle kabelové listiny</w:t>
      </w:r>
    </w:p>
    <w:p w:rsidR="00BC3F2E" w:rsidRPr="00AB0478" w:rsidRDefault="00BC3F2E" w:rsidP="00BC3F2E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290840" w:rsidP="00BA5145">
    <w:pPr>
      <w:pStyle w:val="Zpat"/>
      <w:pBdr>
        <w:top w:val="single" w:sz="12" w:space="0" w:color="auto"/>
      </w:pBdr>
      <w:tabs>
        <w:tab w:val="right" w:pos="9356"/>
      </w:tabs>
    </w:pPr>
    <w:r w:rsidRPr="00290840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9062F8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9062F8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34BDB7C0" wp14:editId="6D3F13F5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37E9" w:rsidRPr="000437E9">
      <w:rPr>
        <w:rFonts w:cs="Arial"/>
        <w:sz w:val="20"/>
        <w:szCs w:val="20"/>
      </w:rPr>
      <w:t xml:space="preserve"> </w:t>
    </w:r>
    <w:r w:rsidR="000437E9" w:rsidRPr="00BA5145">
      <w:rPr>
        <w:rFonts w:cs="Arial"/>
        <w:sz w:val="20"/>
        <w:szCs w:val="20"/>
      </w:rPr>
      <w:t xml:space="preserve">Typová dokumentace chytré </w:t>
    </w:r>
    <w:r w:rsidR="000437E9">
      <w:rPr>
        <w:rFonts w:cs="Arial"/>
        <w:sz w:val="20"/>
        <w:szCs w:val="20"/>
      </w:rPr>
      <w:t>DTS</w:t>
    </w:r>
    <w:r w:rsidR="000437E9" w:rsidRPr="00BA5145">
      <w:rPr>
        <w:noProof/>
        <w:sz w:val="20"/>
        <w:szCs w:val="20"/>
        <w:lang w:eastAsia="cs-CZ"/>
      </w:rPr>
      <w:t xml:space="preserve">      </w:t>
    </w:r>
    <w:r w:rsidR="000437E9" w:rsidRPr="00BA5145">
      <w:rPr>
        <w:noProof/>
        <w:sz w:val="20"/>
        <w:szCs w:val="20"/>
        <w:lang w:eastAsia="cs-CZ"/>
      </w:rPr>
      <w:tab/>
    </w:r>
    <w:r w:rsidR="000B2827" w:rsidRPr="000B2827">
      <w:rPr>
        <w:noProof/>
        <w:sz w:val="20"/>
        <w:szCs w:val="20"/>
        <w:lang w:eastAsia="cs-CZ"/>
      </w:rPr>
      <w:t>2K1L</w:t>
    </w:r>
    <w:r w:rsidR="003D135A">
      <w:rPr>
        <w:noProof/>
        <w:sz w:val="20"/>
        <w:szCs w:val="20"/>
        <w:lang w:eastAsia="cs-CZ"/>
      </w:rPr>
      <w:t>SF(PO)_GA-RTU7M_</w:t>
    </w:r>
    <w:r w:rsidR="000B2827">
      <w:rPr>
        <w:noProof/>
        <w:sz w:val="20"/>
        <w:szCs w:val="20"/>
        <w:lang w:eastAsia="cs-CZ"/>
      </w:rPr>
      <w:t>var.K</w:t>
    </w:r>
    <w:r w:rsidR="00A306FC" w:rsidRPr="00A306FC">
      <w:rPr>
        <w:noProof/>
        <w:sz w:val="20"/>
        <w:szCs w:val="20"/>
        <w:lang w:eastAsia="cs-CZ"/>
      </w:rPr>
      <w:t>-ver</w:t>
    </w:r>
    <w:r w:rsidR="009062F8" w:rsidRPr="001B5A54">
      <w:rPr>
        <w:noProof/>
        <w:sz w:val="20"/>
        <w:szCs w:val="20"/>
        <w:lang w:eastAsia="cs-CZ"/>
      </w:rPr>
      <w:t>.20</w:t>
    </w:r>
    <w:r w:rsidR="009062F8">
      <w:rPr>
        <w:noProof/>
        <w:sz w:val="20"/>
        <w:szCs w:val="20"/>
        <w:lang w:eastAsia="cs-CZ"/>
      </w:rPr>
      <w:t>20</w:t>
    </w:r>
    <w:r w:rsidR="009062F8" w:rsidRPr="001B5A54">
      <w:rPr>
        <w:noProof/>
        <w:sz w:val="20"/>
        <w:szCs w:val="20"/>
        <w:lang w:eastAsia="cs-CZ"/>
      </w:rPr>
      <w:t>.0</w:t>
    </w:r>
    <w:r w:rsidR="009062F8">
      <w:rPr>
        <w:noProof/>
        <w:sz w:val="20"/>
        <w:szCs w:val="20"/>
        <w:lang w:eastAsia="cs-CZ"/>
      </w:rPr>
      <w:t>1</w:t>
    </w:r>
    <w:r w:rsidR="009062F8" w:rsidRPr="001B5A54">
      <w:rPr>
        <w:noProof/>
        <w:sz w:val="20"/>
        <w:szCs w:val="20"/>
        <w:lang w:eastAsia="cs-CZ"/>
      </w:rPr>
      <w:t>.</w:t>
    </w:r>
    <w:r w:rsidR="009062F8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5487"/>
    <w:rsid w:val="00007854"/>
    <w:rsid w:val="0001034C"/>
    <w:rsid w:val="00013FDB"/>
    <w:rsid w:val="00031AB2"/>
    <w:rsid w:val="00036D62"/>
    <w:rsid w:val="0003702A"/>
    <w:rsid w:val="0003720B"/>
    <w:rsid w:val="00043512"/>
    <w:rsid w:val="000437E9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B2827"/>
    <w:rsid w:val="000B4115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82B4F"/>
    <w:rsid w:val="00290840"/>
    <w:rsid w:val="00290C46"/>
    <w:rsid w:val="002946DF"/>
    <w:rsid w:val="00296A26"/>
    <w:rsid w:val="002A1D3D"/>
    <w:rsid w:val="002A2D1C"/>
    <w:rsid w:val="002B38DE"/>
    <w:rsid w:val="002C32B7"/>
    <w:rsid w:val="002C32DD"/>
    <w:rsid w:val="002D0FBA"/>
    <w:rsid w:val="002D3A3C"/>
    <w:rsid w:val="002E2897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135A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43428"/>
    <w:rsid w:val="00550EA0"/>
    <w:rsid w:val="0055382B"/>
    <w:rsid w:val="0056196E"/>
    <w:rsid w:val="00574090"/>
    <w:rsid w:val="00580C59"/>
    <w:rsid w:val="00594CD2"/>
    <w:rsid w:val="005950CA"/>
    <w:rsid w:val="00597436"/>
    <w:rsid w:val="005A14B2"/>
    <w:rsid w:val="005B0E4A"/>
    <w:rsid w:val="005B1873"/>
    <w:rsid w:val="005B230D"/>
    <w:rsid w:val="005B3CB6"/>
    <w:rsid w:val="005B66DE"/>
    <w:rsid w:val="005C2B2A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37CA"/>
    <w:rsid w:val="00764B56"/>
    <w:rsid w:val="00771780"/>
    <w:rsid w:val="00771E2F"/>
    <w:rsid w:val="0077754C"/>
    <w:rsid w:val="007906AB"/>
    <w:rsid w:val="00793EBC"/>
    <w:rsid w:val="00797341"/>
    <w:rsid w:val="007F25E5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062F8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1741B"/>
    <w:rsid w:val="00A24C24"/>
    <w:rsid w:val="00A2679C"/>
    <w:rsid w:val="00A306FC"/>
    <w:rsid w:val="00A43D4D"/>
    <w:rsid w:val="00A51F5C"/>
    <w:rsid w:val="00A54D54"/>
    <w:rsid w:val="00A6591F"/>
    <w:rsid w:val="00A718C0"/>
    <w:rsid w:val="00A737B4"/>
    <w:rsid w:val="00A80281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C3F2E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67675"/>
    <w:rsid w:val="00D67EA8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A3235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FA55B-C5C4-4C54-A8E4-11B391AB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1290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2019-09-12T11:38:00Z</dcterms:created>
  <dcterms:modified xsi:type="dcterms:W3CDTF">2020-01-14T12:17:00Z</dcterms:modified>
</cp:coreProperties>
</file>